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B5341F"/>
          <w:sz w:val="28"/>
          <w:szCs w:val="28"/>
        </w:rPr>
        <w:t xml:space="preserve">SIGNALEMENT D’UN ENFANT EN DANGER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1F2328"/>
          <w:sz w:val="18"/>
          <w:szCs w:val="18"/>
        </w:rPr>
        <w:t xml:space="preserve">Fiche d’urgence — demande de mesure de protection immédiate (ordonnance de placement provisoire)</w:t>
      </w:r>
    </w:p>
    <w:p>
      <w:pPr>
        <w:pBdr>
          <w:bottom w:val="single" w:color="B5341F" w:sz="12" w:space="2"/>
        </w:pBdr>
        <w:spacing w:after="80"/>
      </w:pPr>
      <w:r>
        <w:rPr>
          <w:rFonts w:ascii="Arial" w:cs="Arial" w:eastAsia="Arial" w:hAnsi="Arial"/>
          <w:i/>
          <w:iCs/>
          <w:color w:val="555555"/>
          <w:sz w:val="15"/>
          <w:szCs w:val="15"/>
        </w:rPr>
        <w:t xml:space="preserve">À joindre au courrier adressé au procureur de la République et/ou à un parlementaire. Articles 40 du code de procédure pénale, 375-5 et 1181 du code civil / de procédure civile.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⚑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Ce que je demande, en urgence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Une ordonnance de placement provisoire (art. 375-5 c. civ.) confiant l’enfant au parent protecteur, à son domicile</w:t>
            </w:r>
          </w:p>
        </w:tc>
      </w:tr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Ou, à défaut, à un tiers de confiance : ………………………………………………</w:t>
            </w:r>
          </w:p>
        </w:tc>
      </w:tr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La saisine du juge aux affaires familiales (résidence), et non un placement en foyer</w:t>
            </w:r>
          </w:p>
        </w:tc>
      </w:tr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La suspension immédiate de tout contact avec la personne mise en cause</w:t>
            </w:r>
          </w:p>
        </w:tc>
      </w:tr>
    </w:tbl>
    <w:p>
      <w:pPr>
        <w:spacing w:after="20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A.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Le parent (ou tiers) qui protège et qui signale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00"/>
        <w:gridCol w:w="4546"/>
      </w:tblGrid>
      <w:tr>
        <w:tc>
          <w:tcPr>
            <w:tcW w:type="dxa" w:w="52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Nom, prénom :</w:t>
            </w:r>
          </w:p>
        </w:tc>
        <w:tc>
          <w:tcPr>
            <w:tcW w:type="dxa" w:w="45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Qualité (mère / père / tiers)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Adresse complète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3600"/>
        <w:gridCol w:w="294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Téléphone :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Courriel :</w:t>
            </w:r>
          </w:p>
        </w:tc>
        <w:tc>
          <w:tcPr>
            <w:tcW w:type="dxa" w:w="29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Dépt. :</w:t>
            </w:r>
          </w:p>
        </w:tc>
      </w:tr>
    </w:tbl>
    <w:p>
      <w:pPr>
        <w:spacing w:after="18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B.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L’enfant en danger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200"/>
        <w:gridCol w:w="3200"/>
        <w:gridCol w:w="2346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Prénom (ou initiales) 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Date de naissance / âge :</w:t>
            </w:r>
          </w:p>
        </w:tc>
        <w:tc>
          <w:tcPr>
            <w:tcW w:type="dxa" w:w="23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Sexe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Réside actuellement chez (qui, où)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Prochain passage / droit de visite prévu le (fixe l’urgence) :</w:t>
            </w:r>
          </w:p>
        </w:tc>
      </w:tr>
    </w:tbl>
    <w:p>
      <w:pPr>
        <w:spacing w:after="18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C.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La personne mise en cause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500"/>
        <w:gridCol w:w="4246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Lien avec l’enfant (père, grand-père, autre) :</w:t>
            </w:r>
          </w:p>
        </w:tc>
        <w:tc>
          <w:tcPr>
            <w:tcW w:type="dxa" w:w="42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Nom / initiales :</w:t>
            </w:r>
          </w:p>
        </w:tc>
      </w:tr>
    </w:tbl>
    <w:p>
      <w:pPr>
        <w:spacing w:after="18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D.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Les faits révélés et le danger actuel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Ce que l’enfant a révélé (en quelques mots)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3300"/>
        <w:gridCol w:w="324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Révélé quand :</w:t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À qui :</w:t>
            </w:r>
          </w:p>
        </w:tc>
        <w:tc>
          <w:tcPr>
            <w:tcW w:type="dxa" w:w="32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Danger encore actuel ? O / N :</w:t>
            </w:r>
          </w:p>
        </w:tc>
      </w:tr>
    </w:tbl>
    <w:p>
      <w:pPr>
        <w:pageBreakBefore/>
        <w:spacing w:after="14"/>
      </w:pPr>
      <w:r>
        <w:rPr>
          <w:rFonts w:ascii="Arial" w:cs="Arial" w:eastAsia="Arial" w:hAnsi="Arial"/>
          <w:b/>
          <w:bCs/>
          <w:color w:val="B5341F"/>
          <w:sz w:val="22"/>
          <w:szCs w:val="22"/>
        </w:rPr>
        <w:t xml:space="preserve">PIÈCES À JOINDRE</w:t>
      </w:r>
    </w:p>
    <w:p>
      <w:pPr>
        <w:spacing w:after="30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Coche et numérote chaque pièce jointe. Joins des DOCUMENTS, pas le récit brut des faits.</w:t>
      </w:r>
    </w:p>
    <w:tbl>
      <w:tblPr>
        <w:tblW w:type="dxa" w:w="9746"/>
        <w:tblBorders>
          <w:top w:val="single" w:color="E0A89A" w:sz="8"/>
          <w:left w:val="single" w:color="B5341F" w:sz="18"/>
          <w:bottom w:val="single" w:color="E0A89A" w:sz="8"/>
          <w:right w:val="single" w:color="E0A89A" w:sz="8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E0A89A" w:sz="8"/>
              <w:left w:val="single" w:color="B5341F" w:sz="18"/>
              <w:bottom w:val="single" w:color="E0A89A" w:sz="8"/>
              <w:right w:val="single" w:color="E0A89A" w:sz="8"/>
            </w:tcBorders>
            <w:shd w:fill="FCEEE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18"/>
                <w:szCs w:val="18"/>
              </w:rPr>
              <w:t xml:space="preserve">⚠ Pièces sensibles : ne jamais les joindre, copier ni envoyer.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1F2328"/>
                <w:sz w:val="16"/>
                <w:szCs w:val="16"/>
              </w:rPr>
              <w:t xml:space="preserve">N’envoie aucune image intime, dénudée ou à caractère sexuel de l’enfant, aucun fichier pédopornographique, aucun enregistrement de ce type — surtout pas dans un mail adressé à plusieurs tribunaux. Ces éléments ne se transmettent pas par voie électronique.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b w:val="false"/>
                <w:bCs w:val="false"/>
                <w:color w:val="1F2328"/>
                <w:sz w:val="16"/>
                <w:szCs w:val="16"/>
              </w:rPr>
              <w:t xml:space="preserve">Tu n’es pas en faute : tu déclares simplement que tu les détiens et tu te tiens disponible pour les remettre EN MAIN PROPRE, sans délai, aux enquêteurs ou au procureur compétent. Pour l’alerte collective : la fiche + des documents (certificats, décisions, récépissés).</w:t>
            </w:r>
          </w:p>
        </w:tc>
      </w:tr>
    </w:tbl>
    <w:p>
      <w:pPr>
        <w:spacing w:after="10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Je me tiens disponible pour remettre en mains propres et en urgence les pièces délicates (enregistrements audio/vidéo, documents confidentiels) aux enquêteurs ou au procureur compétent.</w:t>
            </w:r>
          </w:p>
        </w:tc>
      </w:tr>
    </w:tbl>
    <w:p>
      <w:pPr>
        <w:spacing w:after="24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E.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Documents à rassembler (checklist)</w:t>
            </w:r>
          </w:p>
        </w:tc>
      </w:tr>
    </w:tbl>
    <w:p>
      <w:pPr>
        <w:spacing w:after="20" w:before="120"/>
      </w:pPr>
      <w:r>
        <w:rPr>
          <w:rFonts w:ascii="Arial" w:cs="Arial" w:eastAsia="Arial" w:hAnsi="Arial"/>
          <w:b/>
          <w:bCs/>
          <w:color w:val="B5341F"/>
          <w:sz w:val="17"/>
          <w:szCs w:val="17"/>
        </w:rPr>
        <w:t xml:space="preserve">Médical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Certificat médical récent (médecin, hôpital, UMJ)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Compte rendu d’examen / constatations écrites</w:t>
            </w:r>
          </w:p>
        </w:tc>
      </w:tr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Carnet de santé (pages utiles)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Suivi psychologique / psychotrauma</w:t>
            </w:r>
          </w:p>
        </w:tc>
      </w:tr>
    </w:tbl>
    <w:p>
      <w:pPr>
        <w:spacing w:after="20" w:before="120"/>
      </w:pPr>
      <w:r>
        <w:rPr>
          <w:rFonts w:ascii="Arial" w:cs="Arial" w:eastAsia="Arial" w:hAnsi="Arial"/>
          <w:b/>
          <w:bCs/>
          <w:color w:val="B5341F"/>
          <w:sz w:val="17"/>
          <w:szCs w:val="17"/>
        </w:rPr>
        <w:t xml:space="preserve">Judiciaire et procédures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Récépissé(s) ou copie de la plainte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Avis de classement sans suite (avec le motif)</w:t>
            </w:r>
          </w:p>
        </w:tc>
      </w:tr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Décisions du JAF (jugements, ordonnances)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Décisions / mesures du juge des enfants (AEMO, placement)</w:t>
            </w:r>
          </w:p>
        </w:tc>
      </w:tr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Rapports d’enquête sociale / MJIE en ta possession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Astreintes / condamnations pour non-représentation</w:t>
            </w:r>
          </w:p>
        </w:tc>
      </w:tr>
    </w:tbl>
    <w:p>
      <w:pPr>
        <w:spacing w:after="20" w:before="120"/>
      </w:pPr>
      <w:r>
        <w:rPr>
          <w:rFonts w:ascii="Arial" w:cs="Arial" w:eastAsia="Arial" w:hAnsi="Arial"/>
          <w:b/>
          <w:bCs/>
          <w:color w:val="B5341F"/>
          <w:sz w:val="17"/>
          <w:szCs w:val="17"/>
        </w:rPr>
        <w:t xml:space="preserve">Signalements et institutions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Signalements faits (école, crèche, hôpital, 119, CRIP) + accusés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Courriers de l’ASE / des services sociaux</w:t>
            </w:r>
          </w:p>
        </w:tc>
      </w:tr>
    </w:tbl>
    <w:p>
      <w:pPr>
        <w:spacing w:after="20" w:before="120"/>
      </w:pPr>
      <w:r>
        <w:rPr>
          <w:rFonts w:ascii="Arial" w:cs="Arial" w:eastAsia="Arial" w:hAnsi="Arial"/>
          <w:b/>
          <w:bCs/>
          <w:color w:val="B5341F"/>
          <w:sz w:val="17"/>
          <w:szCs w:val="17"/>
        </w:rPr>
        <w:t xml:space="preserve">Éléments matériels (sous forme de documents)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Retranscription ou référence d’enregistrements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Messages / écrits du parent mis en cause (captures datées)</w:t>
            </w:r>
          </w:p>
        </w:tc>
      </w:tr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Attestations de témoins (datées, signées, + pièce d’identité)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Main courante / dépôts antérieurs</w:t>
            </w:r>
          </w:p>
        </w:tc>
      </w:tr>
    </w:tbl>
    <w:p>
      <w:pPr>
        <w:spacing w:after="20" w:before="120"/>
      </w:pPr>
      <w:r>
        <w:rPr>
          <w:rFonts w:ascii="Arial" w:cs="Arial" w:eastAsia="Arial" w:hAnsi="Arial"/>
          <w:b/>
          <w:bCs/>
          <w:color w:val="B5341F"/>
          <w:sz w:val="17"/>
          <w:szCs w:val="17"/>
        </w:rPr>
        <w:t xml:space="preserve">Identité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Pièce d’identité du parent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Livret de famille / acte de naissance de l’enfant</w:t>
            </w:r>
          </w:p>
        </w:tc>
      </w:tr>
    </w:tbl>
    <w:p>
      <w:pPr>
        <w:pageBreakBefore/>
        <w:spacing w:after="20"/>
      </w:pPr>
      <w:r>
        <w:rPr>
          <w:rFonts w:ascii="Arial" w:cs="Arial" w:eastAsia="Arial" w:hAnsi="Arial"/>
          <w:b/>
          <w:bCs/>
          <w:color w:val="B5341F"/>
          <w:sz w:val="18"/>
          <w:szCs w:val="18"/>
        </w:rPr>
        <w:t xml:space="preserve">RETROUVER LES DOSSIERS · DEMANDE · SIGNATURE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F.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Procédures en cours ou passées — pour retrouver les dossiers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573"/>
        <w:gridCol w:w="3573"/>
      </w:tblGrid>
      <w:tr>
        <w:trPr>
          <w:tblHeader/>
        </w:trP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3EC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2328"/>
                <w:sz w:val="16"/>
                <w:szCs w:val="16"/>
              </w:rPr>
              <w:t xml:space="preserve">Procédure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3EC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2328"/>
                <w:sz w:val="16"/>
                <w:szCs w:val="16"/>
              </w:rPr>
              <w:t xml:space="preserve">Juridiction / service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3EC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F2328"/>
                <w:sz w:val="16"/>
                <w:szCs w:val="16"/>
              </w:rPr>
              <w:t xml:space="preserve">N° dossier / RG / parquet – décision – date</w:t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>Plainte pénale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>Classement sans suite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>Juge aux affaires familiales (JAF)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>Juge des enfants (JE)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>Signalement CRIP / 119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>Mise en examen / loi Santiago</w:t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  <w:tc>
          <w:tcPr>
            <w:tcW w:type="dxa" w:w="3573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F2328"/>
                <w:sz w:val="16"/>
                <w:szCs w:val="16"/>
              </w:rPr>
              <w:t xml:space="preserve"/>
            </w:r>
          </w:p>
        </w:tc>
      </w:tr>
    </w:tbl>
    <w:p>
      <w:pPr>
        <w:spacing w:after="24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G.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Indicateurs d’urgence (cocher)</w:t>
            </w:r>
          </w:p>
        </w:tc>
      </w:tr>
    </w:tbl>
    <w:p>
      <w:pPr>
        <w:spacing w:after="14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Enfant de moins de 3 ans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Contact actuel avec la personne mise en cause</w:t>
            </w:r>
          </w:p>
        </w:tc>
      </w:tr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Signes physiques récents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Propos suicidaires / scarifications</w:t>
            </w:r>
          </w:p>
        </w:tc>
      </w:tr>
      <w:tr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Dissociation, terreurs, régressions</w:t>
            </w:r>
          </w:p>
        </w:tc>
        <w:tc>
          <w:tcPr>
            <w:tcW w:type="dxa" w:w="487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2"/>
              <w:left w:type="dxa" w:w="20"/>
              <w:bottom w:type="dxa" w:w="22"/>
              <w:right w:type="dxa" w:w="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5341F"/>
                <w:sz w:val="19"/>
                <w:szCs w:val="19"/>
              </w:rPr>
              <w:t xml:space="preserve">☐  </w:t>
            </w:r>
            <w:r>
              <w:rPr>
                <w:rFonts w:ascii="Arial" w:cs="Arial" w:eastAsia="Arial" w:hAnsi="Arial"/>
                <w:color w:val="1F2328"/>
                <w:sz w:val="17"/>
                <w:szCs w:val="17"/>
              </w:rPr>
              <w:t xml:space="preserve">L’enfant supplie de ne pas y retourner</w:t>
            </w:r>
          </w:p>
        </w:tc>
      </w:tr>
    </w:tbl>
    <w:p>
      <w:pPr>
        <w:spacing w:after="20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B5341F" w:sz="10"/>
              <w:right w:val="none" w:color="FFFFFF" w:sz="0"/>
            </w:tcBorders>
            <w:shd w:fill="F3ECEA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5341F"/>
                <w:sz w:val="20"/>
                <w:szCs w:val="20"/>
              </w:rPr>
              <w:t xml:space="preserve">H.  </w:t>
            </w:r>
            <w:r>
              <w:rPr>
                <w:rFonts w:ascii="Arial" w:cs="Arial" w:eastAsia="Arial" w:hAnsi="Arial"/>
                <w:b/>
                <w:bCs/>
                <w:color w:val="1F2328"/>
                <w:sz w:val="20"/>
                <w:szCs w:val="20"/>
              </w:rPr>
              <w:t xml:space="preserve">Pièces jointes numérotées et signature</w:t>
            </w:r>
          </w:p>
        </w:tc>
      </w:tr>
    </w:tbl>
    <w:p>
      <w:pPr>
        <w:spacing w:after="16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Pièce n°1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Pièce n°2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Pièce n°3 :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Pièce n°4 :</w:t>
            </w:r>
          </w:p>
        </w:tc>
      </w:tr>
    </w:tbl>
    <w:p>
      <w:pPr>
        <w:spacing w:after="18" w:before="0"/>
      </w:pPr>
      <w:r>
        <w:rPr>
          <w:sz w:val="2"/>
          <w:szCs w:val="2"/>
        </w:rP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2600"/>
        <w:gridCol w:w="394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Fait à :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Le :</w:t>
            </w:r>
          </w:p>
        </w:tc>
        <w:tc>
          <w:tcPr>
            <w:tcW w:type="dxa" w:w="3946"/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40"/>
              <w:left w:type="dxa" w:w="40"/>
              <w:bottom w:type="dxa" w:w="30"/>
              <w:right w:type="dxa" w:w="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Signature :</w:t>
            </w:r>
          </w:p>
        </w:tc>
      </w:tr>
    </w:tbl>
    <w:p>
      <w:pPr>
        <w:spacing w:after="26" w:before="0"/>
      </w:pPr>
      <w:r>
        <w:rPr>
          <w:sz w:val="2"/>
          <w:szCs w:val="2"/>
        </w:rPr>
        <w:t xml:space="preserve"/>
      </w:r>
    </w:p>
    <w:p>
      <w:pPr>
        <w:pBdr>
          <w:top w:val="single" w:color="B5341F" w:sz="6" w:space="3"/>
        </w:pBdr>
        <w:spacing w:after="0" w:before="10"/>
      </w:pPr>
      <w:r>
        <w:rPr>
          <w:rFonts w:ascii="Arial" w:cs="Arial" w:eastAsia="Arial" w:hAnsi="Arial"/>
          <w:i/>
          <w:iCs/>
          <w:color w:val="555555"/>
          <w:sz w:val="14"/>
          <w:szCs w:val="14"/>
        </w:rPr>
        <w:t xml:space="preserve">Rappel : un classement sans suite « pour faits insuffisamment caractérisés » ne signifie pas que les faits n’ont pas eu lieu. Le procureur peut agir en précaution. Conserve une copie ; fais relire ce dossier par ton avocat si possible. Modèle citoyen — à adapter à ta situation.</w:t>
      </w:r>
    </w:p>
    <w:sectPr>
      <w:pgSz w:w="11906" w:h="16838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2026-06-29T12:06:37.454Z</dcterms:created>
  <dcterms:modified xsi:type="dcterms:W3CDTF">2026-06-29T12:06:37.454Z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